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7DA6" w14:textId="77777777" w:rsidR="00E23C72" w:rsidRDefault="00E23C72" w:rsidP="00E23C72">
      <w:pPr>
        <w:pStyle w:val="NoSpacing"/>
        <w:jc w:val="center"/>
        <w:rPr>
          <w:b/>
          <w:bCs/>
        </w:rPr>
      </w:pPr>
      <w:r w:rsidRPr="00193958">
        <w:rPr>
          <w:b/>
          <w:bCs/>
        </w:rPr>
        <w:t xml:space="preserve">Can we trust the Bible </w:t>
      </w:r>
      <w:r>
        <w:rPr>
          <w:b/>
          <w:bCs/>
        </w:rPr>
        <w:t>(2) A matter of fact – is the Bible an inaccurate history book?</w:t>
      </w:r>
    </w:p>
    <w:p w14:paraId="7A4EFFB3" w14:textId="77777777" w:rsidR="00E23C72" w:rsidRPr="00193958" w:rsidRDefault="00E23C72" w:rsidP="00E23C72">
      <w:pPr>
        <w:pStyle w:val="NoSpacing"/>
        <w:rPr>
          <w:b/>
          <w:bCs/>
        </w:rPr>
      </w:pPr>
    </w:p>
    <w:p w14:paraId="43B47149" w14:textId="77777777" w:rsidR="00E23C72" w:rsidRPr="001008EB" w:rsidRDefault="00E23C72" w:rsidP="00E23C72">
      <w:pPr>
        <w:pStyle w:val="NoSpacing"/>
      </w:pPr>
      <w:r w:rsidRPr="001008EB">
        <w:t xml:space="preserve">If the Bible can’t get history and geography right, why should we trust it when it speaks about infinitely more important subjects? </w:t>
      </w:r>
    </w:p>
    <w:p w14:paraId="7C6ACFB6" w14:textId="77777777" w:rsidR="00E23C72" w:rsidRPr="001008EB" w:rsidRDefault="00E23C72" w:rsidP="00E23C72">
      <w:pPr>
        <w:pStyle w:val="NoSpacing"/>
      </w:pPr>
    </w:p>
    <w:p w14:paraId="28AF8349" w14:textId="77777777" w:rsidR="00E23C72" w:rsidRPr="001008EB" w:rsidRDefault="00E23C72" w:rsidP="00E23C72">
      <w:pPr>
        <w:pStyle w:val="NoSpacing"/>
      </w:pPr>
      <w:r w:rsidRPr="001008EB">
        <w:t xml:space="preserve">E.g. </w:t>
      </w:r>
    </w:p>
    <w:p w14:paraId="704C5F42" w14:textId="77777777" w:rsidR="00E23C72" w:rsidRPr="001008EB" w:rsidRDefault="00E23C72" w:rsidP="00E23C72">
      <w:pPr>
        <w:pStyle w:val="NoSpacing"/>
        <w:numPr>
          <w:ilvl w:val="0"/>
          <w:numId w:val="2"/>
        </w:numPr>
      </w:pPr>
      <w:r w:rsidRPr="001008EB">
        <w:t>2Chr 4.5 vs 1Ki 7.26: 3000 or 2000 baths?</w:t>
      </w:r>
    </w:p>
    <w:p w14:paraId="3CEF5BB7" w14:textId="77777777" w:rsidR="00E23C72" w:rsidRPr="001008EB" w:rsidRDefault="00E23C72" w:rsidP="00E23C72">
      <w:pPr>
        <w:pStyle w:val="NoSpacing"/>
        <w:numPr>
          <w:ilvl w:val="0"/>
          <w:numId w:val="2"/>
        </w:numPr>
      </w:pPr>
      <w:r w:rsidRPr="001008EB">
        <w:t xml:space="preserve">2Sam 8.4 vs 1Chr 18.4: 1700 horsemen or 7000? </w:t>
      </w:r>
    </w:p>
    <w:p w14:paraId="459E5552" w14:textId="77777777" w:rsidR="00E23C72" w:rsidRDefault="00E23C72" w:rsidP="00E23C72">
      <w:pPr>
        <w:pStyle w:val="NoSpacing"/>
      </w:pPr>
    </w:p>
    <w:p w14:paraId="663BFC75" w14:textId="77777777" w:rsidR="00E23C72" w:rsidRPr="001008EB" w:rsidRDefault="00E23C72" w:rsidP="00E23C72">
      <w:pPr>
        <w:pStyle w:val="NoSpacing"/>
      </w:pPr>
    </w:p>
    <w:p w14:paraId="26511442" w14:textId="77777777" w:rsidR="00E23C72" w:rsidRPr="009843F4" w:rsidRDefault="00E23C72" w:rsidP="00E23C72">
      <w:pPr>
        <w:pStyle w:val="NoSpacing"/>
        <w:spacing w:line="360" w:lineRule="auto"/>
        <w:rPr>
          <w:b/>
          <w:bCs/>
          <w:lang w:val="en-US"/>
        </w:rPr>
      </w:pPr>
      <w:r w:rsidRPr="009843F4">
        <w:rPr>
          <w:b/>
          <w:bCs/>
        </w:rPr>
        <w:t xml:space="preserve">1. The Bible has </w:t>
      </w:r>
      <w:r>
        <w:rPr>
          <w:b/>
          <w:bCs/>
        </w:rPr>
        <w:t xml:space="preserve">repeatedly </w:t>
      </w:r>
      <w:r w:rsidRPr="009843F4">
        <w:rPr>
          <w:b/>
          <w:bCs/>
        </w:rPr>
        <w:t xml:space="preserve">been </w:t>
      </w:r>
      <w:r>
        <w:rPr>
          <w:b/>
          <w:bCs/>
        </w:rPr>
        <w:t>proved to b</w:t>
      </w:r>
      <w:r w:rsidRPr="009843F4">
        <w:rPr>
          <w:b/>
          <w:bCs/>
        </w:rPr>
        <w:t xml:space="preserve">e accurate </w:t>
      </w:r>
      <w:r>
        <w:rPr>
          <w:b/>
          <w:bCs/>
        </w:rPr>
        <w:t>when critics thought it was wrong</w:t>
      </w:r>
    </w:p>
    <w:p w14:paraId="0F82F634" w14:textId="77777777" w:rsidR="00E23C72" w:rsidRDefault="00E23C72" w:rsidP="00E23C72">
      <w:pPr>
        <w:pStyle w:val="NoSpacing"/>
      </w:pPr>
      <w:r>
        <w:t>Robert Dick Wilson, Princeton Professor of Language &amp; Literature of Middle East:</w:t>
      </w:r>
    </w:p>
    <w:p w14:paraId="2E2BF4A5" w14:textId="77777777" w:rsidR="00E23C72" w:rsidRPr="009843F4" w:rsidRDefault="00E23C72" w:rsidP="00E23C72">
      <w:pPr>
        <w:pStyle w:val="NoSpacing"/>
        <w:jc w:val="both"/>
        <w:rPr>
          <w:sz w:val="18"/>
          <w:szCs w:val="18"/>
        </w:rPr>
      </w:pPr>
      <w:r w:rsidRPr="009843F4">
        <w:t>‘I have come to the conviction that no man knows enough to attack the veracity of the Old Testament. Every time when anyone has been able to get together enough documentary 'proofs' to undertake an investigation, the biblical facts in the original text have victoriously met the test.</w:t>
      </w:r>
    </w:p>
    <w:p w14:paraId="675529EB" w14:textId="77777777" w:rsidR="00E23C72" w:rsidRDefault="00E23C72" w:rsidP="00E23C72">
      <w:pPr>
        <w:pStyle w:val="NoSpacing"/>
      </w:pPr>
    </w:p>
    <w:p w14:paraId="4935FD41" w14:textId="77777777" w:rsidR="00E23C72" w:rsidRDefault="00E23C72" w:rsidP="00E23C72">
      <w:pPr>
        <w:pStyle w:val="NoSpacing"/>
      </w:pPr>
      <w:r>
        <w:t xml:space="preserve">E.g… </w:t>
      </w:r>
    </w:p>
    <w:p w14:paraId="37417B22" w14:textId="77777777" w:rsidR="00E23C72" w:rsidRDefault="00E23C72" w:rsidP="00E23C72">
      <w:pPr>
        <w:pStyle w:val="NoSpacing"/>
        <w:numPr>
          <w:ilvl w:val="0"/>
          <w:numId w:val="3"/>
        </w:numPr>
      </w:pPr>
      <w:r>
        <w:t>Title ‘King of Persia’ in Ezra, Nehemiah &amp; 1-2 Chronicles</w:t>
      </w:r>
    </w:p>
    <w:p w14:paraId="661D9CFE" w14:textId="77777777" w:rsidR="00E23C72" w:rsidRDefault="00E23C72" w:rsidP="00E23C72">
      <w:pPr>
        <w:pStyle w:val="NoSpacing"/>
        <w:ind w:left="720"/>
      </w:pPr>
    </w:p>
    <w:p w14:paraId="191CADB8" w14:textId="77777777" w:rsidR="00E23C72" w:rsidRDefault="00E23C72" w:rsidP="00E23C72">
      <w:pPr>
        <w:pStyle w:val="NoSpacing"/>
        <w:numPr>
          <w:ilvl w:val="0"/>
          <w:numId w:val="3"/>
        </w:numPr>
      </w:pPr>
      <w:r>
        <w:t>Lists of kings from 2000 BC to 400 BC – 1 in 750 000 000 000 000 000 000</w:t>
      </w:r>
    </w:p>
    <w:p w14:paraId="7C411F77" w14:textId="77777777" w:rsidR="00E23C72" w:rsidRDefault="00E23C72" w:rsidP="00E23C72">
      <w:pPr>
        <w:pStyle w:val="NoSpacing"/>
        <w:ind w:left="720"/>
      </w:pPr>
    </w:p>
    <w:p w14:paraId="69611E33" w14:textId="77777777" w:rsidR="00E23C72" w:rsidRDefault="00E23C72" w:rsidP="00E23C72">
      <w:pPr>
        <w:pStyle w:val="NoSpacing"/>
        <w:numPr>
          <w:ilvl w:val="0"/>
          <w:numId w:val="3"/>
        </w:numPr>
      </w:pPr>
      <w:r>
        <w:t>Abraham – Ur an uninhabitable desert. Excavated by Sir Leonard Woolley 1922-34.</w:t>
      </w:r>
    </w:p>
    <w:p w14:paraId="4DD0820A" w14:textId="77777777" w:rsidR="00E23C72" w:rsidRPr="004C6DD9" w:rsidRDefault="00E23C72" w:rsidP="00E23C72">
      <w:pPr>
        <w:pStyle w:val="NoSpacing"/>
        <w:ind w:left="720"/>
        <w:jc w:val="both"/>
        <w:rPr>
          <w:rFonts w:ascii="Calibri" w:hAnsi="Calibri"/>
          <w:sz w:val="24"/>
          <w:szCs w:val="24"/>
        </w:rPr>
      </w:pPr>
    </w:p>
    <w:p w14:paraId="5319889B" w14:textId="77777777" w:rsidR="00E23C72" w:rsidRPr="00D96EDF" w:rsidRDefault="00E23C72" w:rsidP="00E23C72">
      <w:pPr>
        <w:pStyle w:val="NoSpacing"/>
        <w:numPr>
          <w:ilvl w:val="0"/>
          <w:numId w:val="3"/>
        </w:numPr>
        <w:jc w:val="both"/>
        <w:rPr>
          <w:rFonts w:ascii="Calibri" w:hAnsi="Calibri"/>
          <w:sz w:val="24"/>
          <w:szCs w:val="24"/>
        </w:rPr>
      </w:pPr>
      <w:r w:rsidRPr="00D96EDF">
        <w:t>Moses couldn’t have written Genesis-Deuteronomy. 1904: A.H. Sayce’s findings: ‘The Babylonia of the age of Abraham was a more educated country than the England of George III.’</w:t>
      </w:r>
    </w:p>
    <w:p w14:paraId="159A8D62" w14:textId="77777777" w:rsidR="00E23C72" w:rsidRDefault="00E23C72" w:rsidP="00E23C72">
      <w:pPr>
        <w:pStyle w:val="NoSpacing"/>
        <w:ind w:left="720"/>
        <w:jc w:val="both"/>
      </w:pPr>
    </w:p>
    <w:p w14:paraId="652EB1BB" w14:textId="77777777" w:rsidR="00E23C72" w:rsidRDefault="00E23C72" w:rsidP="00E23C72">
      <w:pPr>
        <w:pStyle w:val="NoSpacing"/>
        <w:numPr>
          <w:ilvl w:val="0"/>
          <w:numId w:val="3"/>
        </w:numPr>
        <w:jc w:val="both"/>
      </w:pPr>
      <w:r>
        <w:t xml:space="preserve">Luke’s use of titles of city officials throughout the Roman empire: </w:t>
      </w:r>
      <w:r w:rsidRPr="00D96EDF">
        <w:rPr>
          <w:i/>
          <w:iCs/>
        </w:rPr>
        <w:t>Proconsuls</w:t>
      </w:r>
      <w:r>
        <w:t xml:space="preserve"> (Corinth &amp; Cyprus), </w:t>
      </w:r>
      <w:r w:rsidRPr="00D96EDF">
        <w:rPr>
          <w:i/>
          <w:iCs/>
        </w:rPr>
        <w:t>Asiarchs</w:t>
      </w:r>
      <w:r>
        <w:t xml:space="preserve"> (Ephesus), </w:t>
      </w:r>
      <w:r w:rsidRPr="00D96EDF">
        <w:rPr>
          <w:i/>
          <w:iCs/>
        </w:rPr>
        <w:t>Politarchs</w:t>
      </w:r>
      <w:r>
        <w:t xml:space="preserve"> (Thessalonica), </w:t>
      </w:r>
      <w:r w:rsidRPr="00D96EDF">
        <w:rPr>
          <w:i/>
          <w:iCs/>
        </w:rPr>
        <w:t>Protos</w:t>
      </w:r>
      <w:r>
        <w:t xml:space="preserve"> (Malta), Herod Antipas, </w:t>
      </w:r>
      <w:r w:rsidRPr="00D96EDF">
        <w:rPr>
          <w:i/>
          <w:iCs/>
        </w:rPr>
        <w:t>tetrarch</w:t>
      </w:r>
      <w:r>
        <w:t xml:space="preserve"> of Galilee. NB </w:t>
      </w:r>
      <w:r w:rsidRPr="00D96EDF">
        <w:rPr>
          <w:i/>
          <w:iCs/>
        </w:rPr>
        <w:t>Politarchs</w:t>
      </w:r>
    </w:p>
    <w:p w14:paraId="4B653790" w14:textId="77777777" w:rsidR="00E23C72" w:rsidRDefault="00E23C72" w:rsidP="00E23C72">
      <w:pPr>
        <w:pStyle w:val="NoSpacing"/>
        <w:jc w:val="both"/>
      </w:pPr>
    </w:p>
    <w:p w14:paraId="051166FC" w14:textId="77777777" w:rsidR="00E23C72" w:rsidRDefault="00E23C72" w:rsidP="00E23C72">
      <w:pPr>
        <w:pStyle w:val="NoSpacing"/>
        <w:jc w:val="both"/>
      </w:pPr>
      <w:r>
        <w:t>3 expert witnesses:</w:t>
      </w:r>
    </w:p>
    <w:p w14:paraId="07A87298" w14:textId="77777777" w:rsidR="00E23C72" w:rsidRPr="00D96EDF" w:rsidRDefault="00E23C72" w:rsidP="00E23C72">
      <w:pPr>
        <w:pStyle w:val="NoSpacing"/>
        <w:numPr>
          <w:ilvl w:val="0"/>
          <w:numId w:val="4"/>
        </w:numPr>
        <w:jc w:val="both"/>
      </w:pPr>
      <w:r w:rsidRPr="004C6DD9">
        <w:rPr>
          <w:u w:val="single"/>
        </w:rPr>
        <w:t>Sir William Ramsay</w:t>
      </w:r>
      <w:r w:rsidRPr="00D96EDF">
        <w:t>: ‘L</w:t>
      </w:r>
      <w:r>
        <w:t>uke</w:t>
      </w:r>
      <w:r w:rsidRPr="00D96EDF">
        <w:t xml:space="preserve"> is </w:t>
      </w:r>
      <w:r>
        <w:t xml:space="preserve">an </w:t>
      </w:r>
      <w:r w:rsidRPr="00D96EDF">
        <w:t xml:space="preserve">historian of </w:t>
      </w:r>
      <w:r>
        <w:t>the first</w:t>
      </w:r>
      <w:r w:rsidRPr="00D96EDF">
        <w:t xml:space="preserve"> rank; not merely are his statements of fact trustworthy… he should be placed along w</w:t>
      </w:r>
      <w:r>
        <w:t>ith</w:t>
      </w:r>
      <w:r w:rsidRPr="00D96EDF">
        <w:t xml:space="preserve"> the very greatest of historians.’</w:t>
      </w:r>
    </w:p>
    <w:p w14:paraId="6440E8AA" w14:textId="77777777" w:rsidR="00E23C72" w:rsidRDefault="00E23C72" w:rsidP="00E23C72">
      <w:pPr>
        <w:pStyle w:val="NoSpacing"/>
        <w:numPr>
          <w:ilvl w:val="0"/>
          <w:numId w:val="4"/>
        </w:numPr>
        <w:jc w:val="both"/>
      </w:pPr>
      <w:r w:rsidRPr="00D96EDF">
        <w:rPr>
          <w:u w:val="single"/>
        </w:rPr>
        <w:t>Nelson Glueck</w:t>
      </w:r>
      <w:r w:rsidRPr="00D96EDF">
        <w:t xml:space="preserve">: ‘It may be stated categorically that no archaeological discovery has ever controverted a biblical reference.’ </w:t>
      </w:r>
    </w:p>
    <w:p w14:paraId="292AAB7C" w14:textId="77777777" w:rsidR="00E23C72" w:rsidRDefault="00E23C72" w:rsidP="00E23C72">
      <w:pPr>
        <w:pStyle w:val="NoSpacing"/>
        <w:numPr>
          <w:ilvl w:val="0"/>
          <w:numId w:val="4"/>
        </w:numPr>
        <w:jc w:val="both"/>
      </w:pPr>
      <w:r w:rsidRPr="00D96EDF">
        <w:rPr>
          <w:u w:val="single"/>
        </w:rPr>
        <w:t>Alan Millard</w:t>
      </w:r>
      <w:r w:rsidRPr="00D96EDF">
        <w:t>, Prof of H</w:t>
      </w:r>
      <w:r>
        <w:t>e</w:t>
      </w:r>
      <w:r w:rsidRPr="00D96EDF">
        <w:t>b</w:t>
      </w:r>
      <w:r>
        <w:t>rew</w:t>
      </w:r>
      <w:r w:rsidRPr="00D96EDF">
        <w:t xml:space="preserve"> &amp; Semitic lang</w:t>
      </w:r>
      <w:r>
        <w:t>uage</w:t>
      </w:r>
      <w:r w:rsidRPr="00D96EDF">
        <w:t>s at Liverpool Univ</w:t>
      </w:r>
      <w:r>
        <w:t>ersity</w:t>
      </w:r>
      <w:r w:rsidRPr="00D96EDF">
        <w:t>: ‘…nothing has been found which can be proved to contradict any statement of the OT.’</w:t>
      </w:r>
    </w:p>
    <w:p w14:paraId="650172D6" w14:textId="77777777" w:rsidR="00E23C72" w:rsidRDefault="00E23C72" w:rsidP="00E23C72">
      <w:pPr>
        <w:pStyle w:val="NoSpacing"/>
      </w:pPr>
    </w:p>
    <w:p w14:paraId="039F5DD4" w14:textId="77777777" w:rsidR="00E23C72" w:rsidRPr="001008EB" w:rsidRDefault="00E23C72" w:rsidP="00E23C72">
      <w:pPr>
        <w:pStyle w:val="NoSpacing"/>
      </w:pPr>
    </w:p>
    <w:p w14:paraId="13DF3894" w14:textId="77777777" w:rsidR="00E23C72" w:rsidRPr="001008EB" w:rsidRDefault="00E23C72" w:rsidP="00E23C72">
      <w:pPr>
        <w:pStyle w:val="NoSpacing"/>
        <w:jc w:val="both"/>
      </w:pPr>
      <w:r w:rsidRPr="001008EB">
        <w:t xml:space="preserve">Cf. </w:t>
      </w:r>
      <w:r w:rsidRPr="001008EB">
        <w:rPr>
          <w:i/>
          <w:iCs/>
        </w:rPr>
        <w:t>The Book of Mormon</w:t>
      </w:r>
      <w:r w:rsidRPr="001008EB">
        <w:t xml:space="preserve">: “No evidence has ever been found to support it… in spite of decades of the most aggressive archaeological exploration throughout northern, central and southern America, supported by the vast wealth and determination of the Mormon Church… Not one piece of evidence has ever been found – not a trace of the large cities it names, no ruins, no coins, letters, documents, monuments – nothing in writing. Not even one of the rivers or mountains or any of the topography it mentions has ever been identified.” </w:t>
      </w:r>
    </w:p>
    <w:p w14:paraId="758A3FD5" w14:textId="77777777" w:rsidR="00E23C72" w:rsidRDefault="00E23C72" w:rsidP="00E23C72">
      <w:pPr>
        <w:pStyle w:val="NoSpacing"/>
      </w:pPr>
    </w:p>
    <w:p w14:paraId="53BFC5D0" w14:textId="77777777" w:rsidR="00E23C72" w:rsidRPr="001008EB" w:rsidRDefault="00E23C72" w:rsidP="00E23C72">
      <w:pPr>
        <w:pStyle w:val="NoSpacing"/>
      </w:pPr>
    </w:p>
    <w:p w14:paraId="7F14AB14" w14:textId="77777777" w:rsidR="00E23C72" w:rsidRPr="00D96EDF" w:rsidRDefault="00E23C72" w:rsidP="00E23C72">
      <w:pPr>
        <w:pStyle w:val="NoSpacing"/>
        <w:rPr>
          <w:b/>
          <w:bCs/>
        </w:rPr>
      </w:pPr>
      <w:r w:rsidRPr="00D96EDF">
        <w:rPr>
          <w:b/>
          <w:bCs/>
        </w:rPr>
        <w:t>2. There are plausible ways of explaining the alleged contradictions and discrepancies in the Bible</w:t>
      </w:r>
    </w:p>
    <w:p w14:paraId="56F41B65" w14:textId="77777777" w:rsidR="00E23C72" w:rsidRDefault="00E23C72" w:rsidP="00E23C72">
      <w:pPr>
        <w:pStyle w:val="NoSpacing"/>
      </w:pPr>
    </w:p>
    <w:p w14:paraId="6DCBD8B7" w14:textId="77777777" w:rsidR="00E23C72" w:rsidRPr="001008EB" w:rsidRDefault="00E23C72" w:rsidP="00E23C72">
      <w:pPr>
        <w:pStyle w:val="NoSpacing"/>
      </w:pPr>
      <w:r>
        <w:t>E.g. numerical discrepancies…</w:t>
      </w:r>
    </w:p>
    <w:p w14:paraId="4045DB51" w14:textId="77777777" w:rsidR="00E23C72" w:rsidRDefault="00E23C72" w:rsidP="00E23C72">
      <w:pPr>
        <w:pStyle w:val="NoSpacing"/>
        <w:numPr>
          <w:ilvl w:val="0"/>
          <w:numId w:val="1"/>
        </w:numPr>
      </w:pPr>
      <w:r>
        <w:t>Both numbers could be true</w:t>
      </w:r>
    </w:p>
    <w:p w14:paraId="52FB8F90" w14:textId="77777777" w:rsidR="00E23C72" w:rsidRPr="001008EB" w:rsidRDefault="00E23C72" w:rsidP="00E23C72">
      <w:pPr>
        <w:pStyle w:val="NoSpacing"/>
        <w:numPr>
          <w:ilvl w:val="0"/>
          <w:numId w:val="1"/>
        </w:numPr>
      </w:pPr>
      <w:r>
        <w:t xml:space="preserve">It could be due to a </w:t>
      </w:r>
      <w:r w:rsidRPr="001008EB">
        <w:t xml:space="preserve">copying mistake </w:t>
      </w:r>
      <w:r>
        <w:t xml:space="preserve">(/thousand, //thousand, ///thousand &amp;c). </w:t>
      </w:r>
    </w:p>
    <w:p w14:paraId="17BF58B0" w14:textId="77777777" w:rsidR="00E23C72" w:rsidRPr="001008EB" w:rsidRDefault="00E23C72" w:rsidP="00E23C72">
      <w:pPr>
        <w:pStyle w:val="NoSpacing"/>
      </w:pPr>
    </w:p>
    <w:p w14:paraId="22BA1575" w14:textId="77777777" w:rsidR="00E23C72" w:rsidRDefault="00E23C72" w:rsidP="00E23C72">
      <w:pPr>
        <w:pStyle w:val="NoSpacing"/>
      </w:pPr>
      <w:r w:rsidRPr="00D96EDF">
        <w:t xml:space="preserve">NB. overall the number of apparent contradictions is decreasing. </w:t>
      </w:r>
    </w:p>
    <w:p w14:paraId="57D5E1D9" w14:textId="77777777" w:rsidR="00E23C72" w:rsidRDefault="00E23C72" w:rsidP="00E23C72">
      <w:pPr>
        <w:pStyle w:val="NoSpacing"/>
      </w:pPr>
    </w:p>
    <w:p w14:paraId="43463273" w14:textId="77777777" w:rsidR="00E23C72" w:rsidRDefault="00E23C72" w:rsidP="00E23C72">
      <w:pPr>
        <w:pStyle w:val="NoSpacing"/>
      </w:pPr>
    </w:p>
    <w:p w14:paraId="770A3FD7" w14:textId="77777777" w:rsidR="00E23C72" w:rsidRPr="003F7AC5" w:rsidRDefault="00E23C72" w:rsidP="00E23C72">
      <w:pPr>
        <w:pStyle w:val="NoSpacing"/>
      </w:pPr>
      <w:r>
        <w:t>Cf.</w:t>
      </w:r>
      <w:r w:rsidRPr="001008EB">
        <w:t xml:space="preserve"> R.C. Sproul: ‘Explaining Anomalies’ </w:t>
      </w:r>
      <w:hyperlink r:id="rId5" w:history="1">
        <w:r w:rsidRPr="001008EB">
          <w:rPr>
            <w:rStyle w:val="Hyperlink"/>
          </w:rPr>
          <w:t>https://learn.ligonier.org/articles/explaining-anomalies</w:t>
        </w:r>
      </w:hyperlink>
    </w:p>
    <w:p w14:paraId="1444DBEE" w14:textId="77777777" w:rsidR="000C4499" w:rsidRDefault="000C4499"/>
    <w:sectPr w:rsidR="000C4499" w:rsidSect="0079480D">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278"/>
    <w:multiLevelType w:val="hybridMultilevel"/>
    <w:tmpl w:val="4CE8F54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7E1350B"/>
    <w:multiLevelType w:val="hybridMultilevel"/>
    <w:tmpl w:val="52C00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A169F0"/>
    <w:multiLevelType w:val="hybridMultilevel"/>
    <w:tmpl w:val="F000E4E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0C4140E"/>
    <w:multiLevelType w:val="hybridMultilevel"/>
    <w:tmpl w:val="869EBC5E"/>
    <w:lvl w:ilvl="0" w:tplc="F3406352">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56007652">
    <w:abstractNumId w:val="2"/>
  </w:num>
  <w:num w:numId="2" w16cid:durableId="448672680">
    <w:abstractNumId w:val="1"/>
  </w:num>
  <w:num w:numId="3" w16cid:durableId="600377269">
    <w:abstractNumId w:val="3"/>
  </w:num>
  <w:num w:numId="4" w16cid:durableId="77209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72"/>
    <w:rsid w:val="000C4499"/>
    <w:rsid w:val="001876C7"/>
    <w:rsid w:val="0058663F"/>
    <w:rsid w:val="0079480D"/>
    <w:rsid w:val="00B94D4D"/>
    <w:rsid w:val="00E23C72"/>
    <w:rsid w:val="00FF55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DD28"/>
  <w15:chartTrackingRefBased/>
  <w15:docId w15:val="{F2399C4F-B6B5-40FD-B237-A7DEAE05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3C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3C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3C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3C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3C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3C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3C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3C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3C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3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3C72"/>
    <w:pPr>
      <w:spacing w:before="160"/>
      <w:jc w:val="center"/>
    </w:pPr>
    <w:rPr>
      <w:i/>
      <w:iCs/>
      <w:color w:val="404040" w:themeColor="text1" w:themeTint="BF"/>
    </w:rPr>
  </w:style>
  <w:style w:type="character" w:customStyle="1" w:styleId="QuoteChar">
    <w:name w:val="Quote Char"/>
    <w:basedOn w:val="DefaultParagraphFont"/>
    <w:link w:val="Quote"/>
    <w:uiPriority w:val="29"/>
    <w:rsid w:val="00E23C72"/>
    <w:rPr>
      <w:i/>
      <w:iCs/>
      <w:color w:val="404040" w:themeColor="text1" w:themeTint="BF"/>
    </w:rPr>
  </w:style>
  <w:style w:type="paragraph" w:styleId="ListParagraph">
    <w:name w:val="List Paragraph"/>
    <w:basedOn w:val="Normal"/>
    <w:uiPriority w:val="34"/>
    <w:qFormat/>
    <w:rsid w:val="00E23C72"/>
    <w:pPr>
      <w:ind w:left="720"/>
      <w:contextualSpacing/>
    </w:pPr>
  </w:style>
  <w:style w:type="character" w:styleId="IntenseEmphasis">
    <w:name w:val="Intense Emphasis"/>
    <w:basedOn w:val="DefaultParagraphFont"/>
    <w:uiPriority w:val="21"/>
    <w:qFormat/>
    <w:rsid w:val="00E23C72"/>
    <w:rPr>
      <w:i/>
      <w:iCs/>
      <w:color w:val="0F4761" w:themeColor="accent1" w:themeShade="BF"/>
    </w:rPr>
  </w:style>
  <w:style w:type="paragraph" w:styleId="IntenseQuote">
    <w:name w:val="Intense Quote"/>
    <w:basedOn w:val="Normal"/>
    <w:next w:val="Normal"/>
    <w:link w:val="IntenseQuoteChar"/>
    <w:uiPriority w:val="30"/>
    <w:qFormat/>
    <w:rsid w:val="00E23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72"/>
    <w:rPr>
      <w:i/>
      <w:iCs/>
      <w:color w:val="0F4761" w:themeColor="accent1" w:themeShade="BF"/>
    </w:rPr>
  </w:style>
  <w:style w:type="character" w:styleId="IntenseReference">
    <w:name w:val="Intense Reference"/>
    <w:basedOn w:val="DefaultParagraphFont"/>
    <w:uiPriority w:val="32"/>
    <w:qFormat/>
    <w:rsid w:val="00E23C72"/>
    <w:rPr>
      <w:b/>
      <w:bCs/>
      <w:smallCaps/>
      <w:color w:val="0F4761" w:themeColor="accent1" w:themeShade="BF"/>
      <w:spacing w:val="5"/>
    </w:rPr>
  </w:style>
  <w:style w:type="paragraph" w:styleId="NoSpacing">
    <w:name w:val="No Spacing"/>
    <w:uiPriority w:val="1"/>
    <w:qFormat/>
    <w:rsid w:val="00E23C72"/>
    <w:pPr>
      <w:spacing w:after="0" w:line="240" w:lineRule="auto"/>
    </w:pPr>
  </w:style>
  <w:style w:type="character" w:styleId="Hyperlink">
    <w:name w:val="Hyperlink"/>
    <w:uiPriority w:val="99"/>
    <w:unhideWhenUsed/>
    <w:rsid w:val="00E23C7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ligonier.org/articles/explaining-anomal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Peel</dc:creator>
  <cp:keywords/>
  <dc:description/>
  <cp:lastModifiedBy>Warren Peel</cp:lastModifiedBy>
  <cp:revision>1</cp:revision>
  <dcterms:created xsi:type="dcterms:W3CDTF">2026-03-09T15:28:00Z</dcterms:created>
  <dcterms:modified xsi:type="dcterms:W3CDTF">2026-03-09T15:28:00Z</dcterms:modified>
</cp:coreProperties>
</file>